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280" w:rsidRPr="000A6280" w:rsidRDefault="000A6280" w:rsidP="000A628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A6280">
        <w:rPr>
          <w:b/>
          <w:sz w:val="28"/>
          <w:szCs w:val="28"/>
        </w:rPr>
        <w:t>УВЕДОМЛЕНИЕ</w:t>
      </w:r>
    </w:p>
    <w:p w:rsidR="000A6280" w:rsidRPr="00A62EE8" w:rsidRDefault="000A6280" w:rsidP="000A628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62EE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проведении оценки фактического воздействия нормативного правового акта </w:t>
      </w:r>
      <w:r w:rsidR="0046735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Минераловодского городского округа </w:t>
      </w:r>
      <w:r w:rsidRPr="00A62EE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Ставропольского края </w:t>
      </w:r>
    </w:p>
    <w:p w:rsidR="000A6280" w:rsidRDefault="000A6280" w:rsidP="000A6280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C65648" w:rsidRPr="00C65648" w:rsidRDefault="00C65648" w:rsidP="00C65648">
      <w:pPr>
        <w:pStyle w:val="2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C65648">
        <w:rPr>
          <w:b w:val="0"/>
          <w:sz w:val="26"/>
          <w:szCs w:val="26"/>
        </w:rPr>
        <w:t xml:space="preserve">г. </w:t>
      </w:r>
      <w:r w:rsidR="00467356">
        <w:rPr>
          <w:b w:val="0"/>
          <w:sz w:val="26"/>
          <w:szCs w:val="26"/>
        </w:rPr>
        <w:t>Минеральные Воды</w:t>
      </w:r>
      <w:r w:rsidRPr="00C65648">
        <w:rPr>
          <w:b w:val="0"/>
          <w:sz w:val="26"/>
          <w:szCs w:val="26"/>
        </w:rPr>
        <w:t xml:space="preserve">                            </w:t>
      </w:r>
      <w:r>
        <w:rPr>
          <w:b w:val="0"/>
          <w:sz w:val="26"/>
          <w:szCs w:val="26"/>
        </w:rPr>
        <w:t xml:space="preserve">           </w:t>
      </w:r>
      <w:r w:rsidRPr="00C65648">
        <w:rPr>
          <w:b w:val="0"/>
          <w:sz w:val="26"/>
          <w:szCs w:val="26"/>
        </w:rPr>
        <w:t xml:space="preserve">         </w:t>
      </w:r>
      <w:r w:rsidR="00B10304">
        <w:rPr>
          <w:b w:val="0"/>
          <w:sz w:val="26"/>
          <w:szCs w:val="26"/>
        </w:rPr>
        <w:t xml:space="preserve">                            2</w:t>
      </w:r>
      <w:r w:rsidR="00DB4DA6">
        <w:rPr>
          <w:b w:val="0"/>
          <w:sz w:val="26"/>
          <w:szCs w:val="26"/>
        </w:rPr>
        <w:t>1 апреля</w:t>
      </w:r>
      <w:r w:rsidRPr="00C65648">
        <w:rPr>
          <w:b w:val="0"/>
          <w:sz w:val="26"/>
          <w:szCs w:val="26"/>
        </w:rPr>
        <w:t xml:space="preserve"> 201</w:t>
      </w:r>
      <w:r w:rsidR="00467356">
        <w:rPr>
          <w:b w:val="0"/>
          <w:sz w:val="26"/>
          <w:szCs w:val="26"/>
        </w:rPr>
        <w:t>9</w:t>
      </w:r>
      <w:r w:rsidRPr="00C65648">
        <w:rPr>
          <w:b w:val="0"/>
          <w:sz w:val="26"/>
          <w:szCs w:val="26"/>
        </w:rPr>
        <w:t xml:space="preserve"> г.</w:t>
      </w:r>
    </w:p>
    <w:p w:rsidR="00C65648" w:rsidRPr="000A6280" w:rsidRDefault="00C65648" w:rsidP="000A6280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873"/>
        <w:gridCol w:w="5953"/>
      </w:tblGrid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0A6280" w:rsidP="00BF7FB0">
            <w:pPr>
              <w:pStyle w:val="a3"/>
              <w:tabs>
                <w:tab w:val="left" w:pos="3402"/>
              </w:tabs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 w:rsidRPr="000A6280">
              <w:rPr>
                <w:sz w:val="26"/>
                <w:szCs w:val="26"/>
              </w:rPr>
              <w:t>Вид, наименование нормативного правового  акта:</w:t>
            </w:r>
          </w:p>
        </w:tc>
        <w:tc>
          <w:tcPr>
            <w:tcW w:w="5908" w:type="dxa"/>
          </w:tcPr>
          <w:p w:rsidR="000A6280" w:rsidRPr="000A6280" w:rsidRDefault="00DB4DA6" w:rsidP="00DB4DA6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Решение совета Депутатов Минераловодского городского округа Ставропольского края от 18.05.2016 года № 216 «О размещении нестационарных торговых объектов на территории Минераловодского городского округа» на 25 листах.</w:t>
            </w:r>
          </w:p>
        </w:tc>
      </w:tr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0A6280" w:rsidP="00BF7FB0">
            <w:pPr>
              <w:pStyle w:val="a3"/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 w:rsidRPr="000A6280">
              <w:rPr>
                <w:sz w:val="26"/>
                <w:szCs w:val="26"/>
              </w:rPr>
              <w:t>Срок вступления в силу нормативного правового акта</w:t>
            </w:r>
          </w:p>
        </w:tc>
        <w:tc>
          <w:tcPr>
            <w:tcW w:w="5908" w:type="dxa"/>
          </w:tcPr>
          <w:p w:rsidR="000A6280" w:rsidRPr="000A6280" w:rsidRDefault="000A6280" w:rsidP="000A6280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  <w:r w:rsidRPr="000A6280">
              <w:rPr>
                <w:sz w:val="26"/>
                <w:szCs w:val="26"/>
              </w:rPr>
              <w:t xml:space="preserve">с </w:t>
            </w:r>
            <w:r w:rsidR="00DB4DA6">
              <w:rPr>
                <w:lang w:eastAsia="en-US"/>
              </w:rPr>
              <w:t>18.05.2016 года</w:t>
            </w:r>
            <w:r w:rsidR="008131A4">
              <w:rPr>
                <w:u w:val="single"/>
                <w:lang w:eastAsia="en-US"/>
              </w:rPr>
              <w:t xml:space="preserve"> </w:t>
            </w:r>
          </w:p>
          <w:p w:rsidR="000A6280" w:rsidRPr="000A6280" w:rsidRDefault="000A6280" w:rsidP="000A6280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</w:p>
        </w:tc>
      </w:tr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4A6117" w:rsidRDefault="004A6117" w:rsidP="00BF7FB0">
            <w:pPr>
              <w:pStyle w:val="a3"/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</w:p>
          <w:p w:rsidR="000A6280" w:rsidRPr="000A6280" w:rsidRDefault="000A6280" w:rsidP="00BF7FB0">
            <w:pPr>
              <w:pStyle w:val="a3"/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 w:rsidRPr="000A6280">
              <w:rPr>
                <w:sz w:val="26"/>
                <w:szCs w:val="26"/>
              </w:rPr>
              <w:t>Краткое изложение нормативного правового акта</w:t>
            </w:r>
          </w:p>
        </w:tc>
        <w:tc>
          <w:tcPr>
            <w:tcW w:w="5908" w:type="dxa"/>
          </w:tcPr>
          <w:p w:rsidR="004A6117" w:rsidRDefault="004A6117" w:rsidP="004A6117">
            <w:pPr>
              <w:autoSpaceDE w:val="0"/>
              <w:autoSpaceDN w:val="0"/>
              <w:adjustRightInd w:val="0"/>
              <w:spacing w:after="0"/>
              <w:ind w:left="-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6280" w:rsidRPr="00BF7FB0" w:rsidRDefault="00DB4DA6" w:rsidP="004A6117">
            <w:pPr>
              <w:autoSpaceDE w:val="0"/>
              <w:autoSpaceDN w:val="0"/>
              <w:adjustRightInd w:val="0"/>
              <w:spacing w:after="0"/>
              <w:ind w:left="-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Решением</w:t>
            </w:r>
            <w:r w:rsidR="00BF7FB0" w:rsidRPr="00BF7FB0">
              <w:rPr>
                <w:rFonts w:ascii="Times New Roman" w:hAnsi="Times New Roman" w:cs="Times New Roman"/>
                <w:sz w:val="26"/>
                <w:szCs w:val="26"/>
              </w:rPr>
              <w:t xml:space="preserve"> утверждается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 размещении нестационарных торговых объектов на территории</w:t>
            </w:r>
            <w:r w:rsidR="004A6117">
              <w:rPr>
                <w:rFonts w:ascii="Times New Roman" w:hAnsi="Times New Roman" w:cs="Times New Roman"/>
                <w:sz w:val="26"/>
                <w:szCs w:val="26"/>
              </w:rPr>
              <w:t xml:space="preserve"> Минераловодского городского 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4A611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 Ставропольского края, Порядок проведения аукциона на право заключение догов</w:t>
            </w:r>
            <w:r w:rsidR="004A6117">
              <w:rPr>
                <w:rFonts w:ascii="Times New Roman" w:hAnsi="Times New Roman" w:cs="Times New Roman"/>
                <w:sz w:val="26"/>
                <w:szCs w:val="26"/>
              </w:rPr>
              <w:t xml:space="preserve">ора на размещение нестационарного торгового объекта на территории Минераловодского городского округа, Методику расчета начальной цены права на заключение договора на размещение нестационарного торгового объекта на территории Минераловодского городского округа. </w:t>
            </w:r>
          </w:p>
        </w:tc>
      </w:tr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0A6280" w:rsidP="00BF7FB0">
            <w:pPr>
              <w:pStyle w:val="a3"/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 w:rsidRPr="008131A4">
              <w:rPr>
                <w:sz w:val="26"/>
                <w:szCs w:val="26"/>
              </w:rPr>
              <w:t xml:space="preserve">Сведения о </w:t>
            </w:r>
            <w:r w:rsidR="008131A4" w:rsidRPr="008131A4">
              <w:rPr>
                <w:sz w:val="26"/>
                <w:szCs w:val="26"/>
              </w:rPr>
              <w:t>структурном подразделении  или отраслевом (функциональном) органе администрации Минераловодского городского округа</w:t>
            </w:r>
            <w:r w:rsidRPr="008131A4">
              <w:rPr>
                <w:sz w:val="26"/>
                <w:szCs w:val="26"/>
              </w:rPr>
              <w:t>, являющимся</w:t>
            </w:r>
            <w:r w:rsidRPr="000A6280">
              <w:rPr>
                <w:sz w:val="26"/>
                <w:szCs w:val="26"/>
              </w:rPr>
              <w:t xml:space="preserve"> ответственным исполнителем </w:t>
            </w:r>
          </w:p>
        </w:tc>
        <w:tc>
          <w:tcPr>
            <w:tcW w:w="5908" w:type="dxa"/>
          </w:tcPr>
          <w:p w:rsidR="000A6280" w:rsidRPr="00D56C21" w:rsidRDefault="004A6117" w:rsidP="008131A4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торговли, бытового обслуживания и защиты прав потребителей администрации Минераловодского городского округа.</w:t>
            </w:r>
          </w:p>
          <w:p w:rsidR="000A6280" w:rsidRPr="00D56C21" w:rsidRDefault="000A6280" w:rsidP="000A6280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</w:p>
          <w:p w:rsidR="000A6280" w:rsidRPr="00D56C21" w:rsidRDefault="000A6280" w:rsidP="000A6280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</w:p>
        </w:tc>
      </w:tr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0A6280" w:rsidP="00BF7FB0">
            <w:pPr>
              <w:pStyle w:val="a3"/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 w:rsidRPr="000A6280">
              <w:rPr>
                <w:sz w:val="26"/>
                <w:szCs w:val="26"/>
              </w:rPr>
              <w:t xml:space="preserve">Форма представления замечаний и предложений </w:t>
            </w:r>
          </w:p>
          <w:p w:rsidR="000A6280" w:rsidRPr="000A6280" w:rsidRDefault="000A6280" w:rsidP="000A6280">
            <w:pPr>
              <w:pStyle w:val="a3"/>
              <w:spacing w:before="0" w:beforeAutospacing="0" w:after="0" w:afterAutospacing="0"/>
              <w:ind w:right="820"/>
              <w:jc w:val="both"/>
              <w:rPr>
                <w:sz w:val="26"/>
                <w:szCs w:val="26"/>
              </w:rPr>
            </w:pPr>
          </w:p>
        </w:tc>
        <w:tc>
          <w:tcPr>
            <w:tcW w:w="5908" w:type="dxa"/>
          </w:tcPr>
          <w:p w:rsidR="000A6280" w:rsidRPr="000A6280" w:rsidRDefault="00A62EE8" w:rsidP="000A6280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перечню вопросов для участников публичных консультаций (приложение к Уведомлению)</w:t>
            </w:r>
          </w:p>
        </w:tc>
      </w:tr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F14E23" w:rsidP="00BF7FB0">
            <w:pPr>
              <w:pStyle w:val="a3"/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начала и окончания проведения публичных консультаций,</w:t>
            </w:r>
            <w:r w:rsidR="000A6280" w:rsidRPr="000A6280">
              <w:rPr>
                <w:sz w:val="26"/>
                <w:szCs w:val="26"/>
              </w:rPr>
              <w:t xml:space="preserve"> в течение которого принимаются предложения от заинтересованных лиц и способ их представления</w:t>
            </w:r>
          </w:p>
        </w:tc>
        <w:tc>
          <w:tcPr>
            <w:tcW w:w="5908" w:type="dxa"/>
          </w:tcPr>
          <w:p w:rsidR="000A6280" w:rsidRPr="000A6280" w:rsidRDefault="008C7CC9" w:rsidP="004A6117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A6280" w:rsidRPr="000A6280">
              <w:rPr>
                <w:sz w:val="26"/>
                <w:szCs w:val="26"/>
              </w:rPr>
              <w:t xml:space="preserve">редложения принимаются </w:t>
            </w:r>
            <w:r w:rsidR="00F14E23">
              <w:rPr>
                <w:sz w:val="26"/>
                <w:szCs w:val="26"/>
              </w:rPr>
              <w:t>с 2</w:t>
            </w:r>
            <w:r w:rsidR="004A6117">
              <w:rPr>
                <w:sz w:val="26"/>
                <w:szCs w:val="26"/>
              </w:rPr>
              <w:t>2</w:t>
            </w:r>
            <w:r w:rsidR="008131A4">
              <w:rPr>
                <w:sz w:val="26"/>
                <w:szCs w:val="26"/>
              </w:rPr>
              <w:t xml:space="preserve"> </w:t>
            </w:r>
            <w:r w:rsidR="004A6117">
              <w:rPr>
                <w:sz w:val="26"/>
                <w:szCs w:val="26"/>
              </w:rPr>
              <w:t>апреля</w:t>
            </w:r>
            <w:r w:rsidR="008131A4">
              <w:rPr>
                <w:sz w:val="26"/>
                <w:szCs w:val="26"/>
              </w:rPr>
              <w:t xml:space="preserve"> 2019</w:t>
            </w:r>
            <w:r w:rsidR="00F14E23">
              <w:rPr>
                <w:sz w:val="26"/>
                <w:szCs w:val="26"/>
              </w:rPr>
              <w:t xml:space="preserve"> года </w:t>
            </w:r>
            <w:proofErr w:type="gramStart"/>
            <w:r w:rsidR="000A6280" w:rsidRPr="000A6280">
              <w:rPr>
                <w:sz w:val="26"/>
                <w:szCs w:val="26"/>
              </w:rPr>
              <w:t xml:space="preserve">до  </w:t>
            </w:r>
            <w:r w:rsidR="004A6117">
              <w:rPr>
                <w:sz w:val="26"/>
                <w:szCs w:val="26"/>
              </w:rPr>
              <w:t>27</w:t>
            </w:r>
            <w:proofErr w:type="gramEnd"/>
            <w:r w:rsidR="004A6117">
              <w:rPr>
                <w:sz w:val="26"/>
                <w:szCs w:val="26"/>
              </w:rPr>
              <w:t xml:space="preserve"> мая</w:t>
            </w:r>
            <w:r w:rsidR="008131A4">
              <w:rPr>
                <w:sz w:val="26"/>
                <w:szCs w:val="26"/>
              </w:rPr>
              <w:t xml:space="preserve"> </w:t>
            </w:r>
            <w:r w:rsidR="000A6280" w:rsidRPr="000A6280">
              <w:rPr>
                <w:sz w:val="26"/>
                <w:szCs w:val="26"/>
              </w:rPr>
              <w:t>201</w:t>
            </w:r>
            <w:r w:rsidR="008131A4">
              <w:rPr>
                <w:sz w:val="26"/>
                <w:szCs w:val="26"/>
              </w:rPr>
              <w:t>9</w:t>
            </w:r>
            <w:r w:rsidR="000A6280" w:rsidRPr="000A6280">
              <w:rPr>
                <w:sz w:val="26"/>
                <w:szCs w:val="26"/>
              </w:rPr>
              <w:t xml:space="preserve"> года по адресу: г. </w:t>
            </w:r>
            <w:r w:rsidR="008131A4">
              <w:rPr>
                <w:sz w:val="26"/>
                <w:szCs w:val="26"/>
              </w:rPr>
              <w:t>Минеральные Воды</w:t>
            </w:r>
            <w:r w:rsidR="000A6280" w:rsidRPr="000A6280">
              <w:rPr>
                <w:sz w:val="26"/>
                <w:szCs w:val="26"/>
              </w:rPr>
              <w:t xml:space="preserve">, ул. </w:t>
            </w:r>
            <w:r w:rsidR="008131A4">
              <w:rPr>
                <w:sz w:val="26"/>
                <w:szCs w:val="26"/>
              </w:rPr>
              <w:t>Почтовая</w:t>
            </w:r>
            <w:r w:rsidR="000A6280" w:rsidRPr="000A6280">
              <w:rPr>
                <w:sz w:val="26"/>
                <w:szCs w:val="26"/>
              </w:rPr>
              <w:t xml:space="preserve">, д. </w:t>
            </w:r>
            <w:r w:rsidR="008131A4">
              <w:rPr>
                <w:sz w:val="26"/>
                <w:szCs w:val="26"/>
              </w:rPr>
              <w:t>24, каб.№</w:t>
            </w:r>
            <w:r w:rsidR="004A6117">
              <w:rPr>
                <w:sz w:val="26"/>
                <w:szCs w:val="26"/>
              </w:rPr>
              <w:t>2</w:t>
            </w:r>
            <w:r w:rsidR="000A6280" w:rsidRPr="000A6280">
              <w:rPr>
                <w:sz w:val="26"/>
                <w:szCs w:val="26"/>
              </w:rPr>
              <w:t xml:space="preserve"> и электронной почте: </w:t>
            </w:r>
            <w:hyperlink r:id="rId4" w:history="1">
              <w:r w:rsidR="004A6117" w:rsidRPr="004A6117">
                <w:rPr>
                  <w:rStyle w:val="a7"/>
                  <w:color w:val="000000" w:themeColor="text1"/>
                  <w:sz w:val="26"/>
                  <w:szCs w:val="26"/>
                  <w:lang w:val="en-US"/>
                </w:rPr>
                <w:t>gmv</w:t>
              </w:r>
              <w:r w:rsidR="004A6117" w:rsidRPr="004A6117">
                <w:rPr>
                  <w:rStyle w:val="a7"/>
                  <w:color w:val="000000" w:themeColor="text1"/>
                  <w:sz w:val="26"/>
                  <w:szCs w:val="26"/>
                </w:rPr>
                <w:t>.</w:t>
              </w:r>
              <w:r w:rsidR="004A6117" w:rsidRPr="004A6117">
                <w:rPr>
                  <w:rStyle w:val="a7"/>
                  <w:color w:val="000000" w:themeColor="text1"/>
                  <w:sz w:val="26"/>
                  <w:szCs w:val="26"/>
                  <w:lang w:val="en-US"/>
                </w:rPr>
                <w:t>torgovlya</w:t>
              </w:r>
              <w:bookmarkStart w:id="0" w:name="_GoBack"/>
              <w:bookmarkEnd w:id="0"/>
              <w:r w:rsidR="004A6117" w:rsidRPr="004A6117">
                <w:rPr>
                  <w:rStyle w:val="a7"/>
                  <w:color w:val="000000" w:themeColor="text1"/>
                  <w:sz w:val="26"/>
                  <w:szCs w:val="26"/>
                </w:rPr>
                <w:t>@yandex.ru</w:t>
              </w:r>
            </w:hyperlink>
          </w:p>
        </w:tc>
      </w:tr>
    </w:tbl>
    <w:p w:rsidR="00A62EE8" w:rsidRDefault="00A62EE8" w:rsidP="000A6280">
      <w:pPr>
        <w:spacing w:after="0"/>
        <w:rPr>
          <w:rFonts w:ascii="Times New Roman" w:hAnsi="Times New Roman" w:cs="Times New Roman"/>
        </w:rPr>
      </w:pPr>
    </w:p>
    <w:p w:rsidR="00B10304" w:rsidRDefault="00B10304" w:rsidP="00A62E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6117" w:rsidRDefault="004A6117" w:rsidP="00A62E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2EE8" w:rsidRPr="00A62EE8" w:rsidRDefault="00A62EE8" w:rsidP="00A62E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62EE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62EE8" w:rsidRPr="00A62EE8" w:rsidRDefault="00A62EE8" w:rsidP="000A6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EE8" w:rsidRPr="00A62EE8" w:rsidRDefault="00A62EE8" w:rsidP="00A62E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2EE8">
        <w:rPr>
          <w:rFonts w:ascii="Times New Roman" w:hAnsi="Times New Roman" w:cs="Times New Roman"/>
          <w:sz w:val="28"/>
          <w:szCs w:val="28"/>
        </w:rPr>
        <w:t>Перечень</w:t>
      </w:r>
    </w:p>
    <w:p w:rsidR="00A62EE8" w:rsidRDefault="00A62EE8" w:rsidP="00A62E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62EE8">
        <w:rPr>
          <w:rFonts w:ascii="Times New Roman" w:hAnsi="Times New Roman" w:cs="Times New Roman"/>
          <w:sz w:val="28"/>
          <w:szCs w:val="28"/>
        </w:rPr>
        <w:t>опросов для участников публичных консультаций</w:t>
      </w:r>
    </w:p>
    <w:p w:rsidR="00A62EE8" w:rsidRDefault="00A62EE8" w:rsidP="00A62E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62EE8" w:rsidRPr="00C65648" w:rsidTr="00F3172E">
        <w:tc>
          <w:tcPr>
            <w:tcW w:w="9571" w:type="dxa"/>
          </w:tcPr>
          <w:p w:rsidR="00A62EE8" w:rsidRPr="00C65648" w:rsidRDefault="00C65648" w:rsidP="005F79C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. Наименование органа исполнительной  власти  Ставропольского  края, органа местного самоуправления муниципального образования Ставропольского края, организации, вносящего (вносящей) замечания и предложения в связи с проведением публичных  консультаций </w:t>
            </w:r>
            <w:r w:rsidR="005F79CB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по нормативному правовому акту 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>(далее соответственно - замечания и предложения).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C65648" w:rsidP="00A62EE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. Наименование нормативного правового акта.                                       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C65648" w:rsidP="00BB4FA2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  <w:r w:rsidRPr="00C65648">
              <w:rPr>
                <w:sz w:val="26"/>
                <w:szCs w:val="26"/>
              </w:rPr>
              <w:t>3</w:t>
            </w:r>
            <w:r w:rsidR="00A62EE8" w:rsidRPr="00C65648">
              <w:rPr>
                <w:sz w:val="26"/>
                <w:szCs w:val="26"/>
              </w:rPr>
              <w:t xml:space="preserve">. Срок, установленный </w:t>
            </w:r>
            <w:r w:rsidR="00BB4FA2">
              <w:rPr>
                <w:sz w:val="26"/>
                <w:szCs w:val="26"/>
              </w:rPr>
              <w:t>у</w:t>
            </w:r>
            <w:r w:rsidR="00BB4FA2" w:rsidRPr="00D56C21">
              <w:rPr>
                <w:sz w:val="26"/>
                <w:szCs w:val="26"/>
              </w:rPr>
              <w:t>правление</w:t>
            </w:r>
            <w:r w:rsidR="00BB4FA2">
              <w:rPr>
                <w:sz w:val="26"/>
                <w:szCs w:val="26"/>
              </w:rPr>
              <w:t>м</w:t>
            </w:r>
            <w:r w:rsidR="00BB4FA2" w:rsidRPr="00D56C21">
              <w:rPr>
                <w:sz w:val="26"/>
                <w:szCs w:val="26"/>
              </w:rPr>
              <w:t xml:space="preserve"> экономического развития администрации Минераловодского городского округа Ставропольского края</w:t>
            </w:r>
            <w:r w:rsidR="00BB4FA2">
              <w:rPr>
                <w:sz w:val="26"/>
                <w:szCs w:val="26"/>
              </w:rPr>
              <w:t xml:space="preserve"> </w:t>
            </w:r>
            <w:r w:rsidR="00A62EE8" w:rsidRPr="00C65648">
              <w:rPr>
                <w:sz w:val="26"/>
                <w:szCs w:val="26"/>
              </w:rPr>
              <w:t>для направления замечаний и предложений.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C65648" w:rsidP="00C6564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4. Считаете ли Вы нормы нормативного правового акта ясными и однозначными для понимания? Считаете ли Вы, что нормы нормативного правового проекта акта не соответствуют или противоречат иным действующим нормативным правовым актам? Укажите нормы и такие нормативные правовые акты.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C65648" w:rsidP="00C6564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F79CB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Какие положения нормативного правового акта </w:t>
            </w: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положительно и (или) негативно отражаются 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>на субъектах предпринимательской</w:t>
            </w: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деятельности? У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>кажите такие положения и оцените это влияние количественно.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C65648" w:rsidP="00C6564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. Иные замечания и предложения по </w:t>
            </w: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нормативному правовому 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 акт</w:t>
            </w: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.                     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62EE8" w:rsidRDefault="00A62EE8" w:rsidP="00A62E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62EE8" w:rsidSect="00F14E2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80"/>
    <w:rsid w:val="000A6280"/>
    <w:rsid w:val="001B39E7"/>
    <w:rsid w:val="00462904"/>
    <w:rsid w:val="00467356"/>
    <w:rsid w:val="004A6117"/>
    <w:rsid w:val="005F79CB"/>
    <w:rsid w:val="00755A3A"/>
    <w:rsid w:val="007B2966"/>
    <w:rsid w:val="008131A4"/>
    <w:rsid w:val="008C7CC9"/>
    <w:rsid w:val="00966B5D"/>
    <w:rsid w:val="009E196B"/>
    <w:rsid w:val="00A62EE8"/>
    <w:rsid w:val="00B10304"/>
    <w:rsid w:val="00BA5D3C"/>
    <w:rsid w:val="00BB4FA2"/>
    <w:rsid w:val="00BF7FB0"/>
    <w:rsid w:val="00C112E2"/>
    <w:rsid w:val="00C21F39"/>
    <w:rsid w:val="00C65648"/>
    <w:rsid w:val="00C742E9"/>
    <w:rsid w:val="00D56C21"/>
    <w:rsid w:val="00DB4DA6"/>
    <w:rsid w:val="00E73BE8"/>
    <w:rsid w:val="00ED0BE0"/>
    <w:rsid w:val="00F14E23"/>
    <w:rsid w:val="00F96A41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1B71B-82BF-47BE-80B1-AFA67642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A41"/>
  </w:style>
  <w:style w:type="paragraph" w:styleId="2">
    <w:name w:val="heading 2"/>
    <w:basedOn w:val="a"/>
    <w:link w:val="20"/>
    <w:uiPriority w:val="99"/>
    <w:qFormat/>
    <w:rsid w:val="000A6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A62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0A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A6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4">
    <w:name w:val="Table Grid"/>
    <w:basedOn w:val="a1"/>
    <w:uiPriority w:val="59"/>
    <w:rsid w:val="00A62E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A62E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131A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1A4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E19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mv.torgovl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krrums</dc:creator>
  <cp:lastModifiedBy>agmv03</cp:lastModifiedBy>
  <cp:revision>2</cp:revision>
  <cp:lastPrinted>2019-05-13T07:16:00Z</cp:lastPrinted>
  <dcterms:created xsi:type="dcterms:W3CDTF">2019-05-13T13:54:00Z</dcterms:created>
  <dcterms:modified xsi:type="dcterms:W3CDTF">2019-05-13T13:54:00Z</dcterms:modified>
</cp:coreProperties>
</file>