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ИНФОРМАЦИОННОЕ ПИСЬМО ПО СТРАХОВЫМ ВЗНОСАМ В ФИКСИРОВАННОМ РАЗМЕРЕ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Плательщики, не производящие выплаты и иные вознаграждения физическим лицам (</w:t>
      </w: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2 п. 1 ст. 419 НК РФ), уплачивают </w:t>
      </w:r>
      <w:r>
        <w:rPr>
          <w:rFonts w:ascii="Times New Roman" w:hAnsi="Times New Roman"/>
          <w:b/>
          <w:sz w:val="24"/>
          <w:u w:val="single"/>
        </w:rPr>
        <w:t>страховые взносы за 2023 год</w:t>
      </w:r>
      <w:r>
        <w:rPr>
          <w:rFonts w:ascii="Times New Roman" w:hAnsi="Times New Roman"/>
          <w:sz w:val="24"/>
        </w:rPr>
        <w:t xml:space="preserve"> в следующем </w:t>
      </w:r>
      <w:r>
        <w:rPr>
          <w:rFonts w:ascii="Times New Roman" w:hAnsi="Times New Roman"/>
          <w:b/>
          <w:sz w:val="24"/>
        </w:rPr>
        <w:t>размере:</w:t>
      </w:r>
    </w:p>
    <w:p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552"/>
        <w:gridCol w:w="1949"/>
      </w:tblGrid>
      <w:tr>
        <w:tc>
          <w:tcPr>
            <w:tcW w:w="3369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 платежа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КБК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Сумма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Срок уплаты</w:t>
            </w:r>
          </w:p>
        </w:tc>
      </w:tr>
      <w:tr>
        <w:tc>
          <w:tcPr>
            <w:tcW w:w="3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 xml:space="preserve">Страховые взносы на </w:t>
            </w:r>
            <w:r>
              <w:rPr>
                <w:rFonts w:ascii="Times New Roman" w:hAnsi="Times New Roman"/>
                <w:sz w:val="20"/>
                <w:u w:val="single"/>
              </w:rPr>
              <w:t>обязательное пенсионное и медицинское страхование</w:t>
            </w:r>
            <w:r>
              <w:rPr>
                <w:rFonts w:ascii="Times New Roman" w:hAnsi="Times New Roman"/>
                <w:sz w:val="20"/>
              </w:rPr>
              <w:t xml:space="preserve"> с дохода не более 300 тыс. руб.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18210202000010000160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45 842 руб.,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</w:p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36 723 руб. – на ОПС, </w:t>
            </w:r>
          </w:p>
          <w:p>
            <w:pPr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</w:rPr>
              <w:t>9 119 руб. – на ОМС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не позднее 31 декабря расчетного периода</w:t>
            </w:r>
          </w:p>
        </w:tc>
      </w:tr>
      <w:tr>
        <w:tc>
          <w:tcPr>
            <w:tcW w:w="3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Страховые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взносы, исчисленные с суммы дохода, превышающей 300 тыс. руб. </w:t>
            </w:r>
            <w:r>
              <w:rPr>
                <w:rFonts w:ascii="Times New Roman" w:hAnsi="Times New Roman"/>
                <w:sz w:val="20"/>
                <w:u w:val="single"/>
              </w:rPr>
              <w:t>(1 %)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18210203000010000160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  <w:r>
              <w:rPr>
                <w:rFonts w:ascii="Times New Roman" w:hAnsi="Times New Roman"/>
                <w:b/>
                <w:sz w:val="20"/>
              </w:rPr>
              <w:t>Размер страховых взносов за расчетный не может быть более 257 061 руб. (п.1ст.430 НК РФ)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 xml:space="preserve">не позднее 1 июля года, следующего за истекшим расчетным периодом 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Дополнительно сообщаем, </w:t>
      </w:r>
      <w:r>
        <w:rPr>
          <w:rFonts w:ascii="Times New Roman" w:hAnsi="Times New Roman"/>
          <w:b/>
          <w:sz w:val="24"/>
          <w:u w:val="single"/>
        </w:rPr>
        <w:t>в случае начала (прекращения) осуществления предпринимательской либо иной профессиональной деятельности в течение расчетного периода</w:t>
      </w:r>
      <w:r>
        <w:rPr>
          <w:rFonts w:ascii="Times New Roman" w:hAnsi="Times New Roman"/>
          <w:sz w:val="24"/>
        </w:rPr>
        <w:t xml:space="preserve"> в соответствии п. п. 3, 5 ст. 430 НК РФ фиксированный размер страховых взносов исчисляется </w:t>
      </w:r>
      <w:r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даты начала (до даты прекращения)</w:t>
      </w:r>
      <w:r>
        <w:rPr>
          <w:rFonts w:ascii="Times New Roman" w:hAnsi="Times New Roman"/>
          <w:sz w:val="24"/>
        </w:rPr>
        <w:t xml:space="preserve"> указанной деятельности (пропорционально количеству календарных месяцев, а также пропорционально количеству календарных дней по дату прекращения деятельности). 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КБК для платежей за 2017-2022 годы:</w:t>
      </w:r>
    </w:p>
    <w:p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наличии задолженности за 2017-2022 годы; </w:t>
      </w:r>
    </w:p>
    <w:p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отдельных ИП, в соответствии с Постановлением Правительства РФ от 29.04.2022 № 776 «Об изменении сроков уплаты страховых взносов в 2022 году» (пункты 1, 2), продлены сроки уплаты страховых взносов, исчисленных ИП за 2021 год с суммы дохода, превышающей 300 000 рублей на 12 месяцев.</w:t>
      </w:r>
    </w:p>
    <w:p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Уплатить их необходимо не позднее 3 июля 2023 г. Продление срока распространяется на ИП, осуществляющих виды деятельности согласно Приложению N 1 к указанному Постановлению и в отношении них не проводится процедура исключения из ЕГРИП.</w:t>
      </w:r>
    </w:p>
    <w:p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Вид осуществляемой деятельности ИП </w:t>
      </w:r>
      <w:hyperlink r:id="rId6">
        <w:r>
          <w:rPr>
            <w:rStyle w:val="a9"/>
            <w:rFonts w:ascii="Times New Roman" w:hAnsi="Times New Roman"/>
            <w:color w:val="auto"/>
            <w:sz w:val="24"/>
            <w:u w:val="none"/>
          </w:rPr>
          <w:t>определяется</w:t>
        </w:r>
      </w:hyperlink>
      <w:r>
        <w:rPr>
          <w:rFonts w:ascii="Times New Roman" w:hAnsi="Times New Roman"/>
          <w:color w:val="auto"/>
          <w:sz w:val="24"/>
        </w:rPr>
        <w:t xml:space="preserve"> по коду основного вида деятельности, информация о котором содержится в ЕГРИП по состоянию на 1 апреля 2022 г.</w:t>
      </w:r>
    </w:p>
    <w:p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Продление сроков уплаты страховых взносов проходит в </w:t>
      </w:r>
      <w:proofErr w:type="spellStart"/>
      <w:r>
        <w:rPr>
          <w:rFonts w:ascii="Times New Roman" w:hAnsi="Times New Roman"/>
          <w:color w:val="auto"/>
          <w:sz w:val="24"/>
        </w:rPr>
        <w:t>проактивном</w:t>
      </w:r>
      <w:proofErr w:type="spellEnd"/>
      <w:r>
        <w:rPr>
          <w:rFonts w:ascii="Times New Roman" w:hAnsi="Times New Roman"/>
          <w:color w:val="auto"/>
          <w:sz w:val="24"/>
        </w:rPr>
        <w:t xml:space="preserve"> (</w:t>
      </w:r>
      <w:proofErr w:type="spellStart"/>
      <w:r>
        <w:rPr>
          <w:rFonts w:ascii="Times New Roman" w:hAnsi="Times New Roman"/>
          <w:color w:val="auto"/>
          <w:sz w:val="24"/>
        </w:rPr>
        <w:t>беззаявительном</w:t>
      </w:r>
      <w:proofErr w:type="spellEnd"/>
      <w:r>
        <w:rPr>
          <w:rFonts w:ascii="Times New Roman" w:hAnsi="Times New Roman"/>
          <w:color w:val="auto"/>
          <w:sz w:val="24"/>
        </w:rPr>
        <w:t>) порядке.</w:t>
      </w:r>
    </w:p>
    <w:p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Кроме того, на сайте ведомства в разделе «Сервисы и </w:t>
      </w:r>
      <w:proofErr w:type="spellStart"/>
      <w:r>
        <w:rPr>
          <w:rFonts w:ascii="Times New Roman" w:hAnsi="Times New Roman"/>
          <w:color w:val="auto"/>
          <w:sz w:val="24"/>
        </w:rPr>
        <w:t>госуслуги</w:t>
      </w:r>
      <w:proofErr w:type="spellEnd"/>
      <w:r>
        <w:rPr>
          <w:rFonts w:ascii="Times New Roman" w:hAnsi="Times New Roman"/>
          <w:color w:val="auto"/>
          <w:sz w:val="24"/>
        </w:rPr>
        <w:t>» размещен интерактивный сервис «Меры поддержки / Проверка права на продление сроков платежей по УСН и страховым взносам», который позволяет быстро узнать, применяется ли к вам данная мера поддержки. Для этого достаточно указать ваш ИНН.</w:t>
      </w:r>
    </w:p>
    <w:p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В связи с продлением срока уплаты страховых взносов,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исчисленных ИП за 2021 год с суммы дохода, превышающей 300 000 рублей, начисления будут отражены в Карточке налоговый обязанностей при наступлении срока 3 июля 2023 г.</w:t>
      </w: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>
        <w:tc>
          <w:tcPr>
            <w:tcW w:w="4786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Вид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КБК</w:t>
            </w:r>
          </w:p>
        </w:tc>
      </w:tr>
      <w:tr>
        <w:tc>
          <w:tcPr>
            <w:tcW w:w="4786" w:type="dxa"/>
            <w:vAlign w:val="center"/>
          </w:tcPr>
          <w:p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Страховые взносы на обязательное пенсионное страхование за расчетные периоды, истекшие до 1 января 2023 года (в фиксированном размере, зачисляемые на выплату  страховой пенсии, за расчетные периоды с 1 января 2017 года по 31 декабря 2022 года)</w:t>
            </w:r>
          </w:p>
          <w:p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Страховые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взносы, исчисленные с суммы дохода, превышающей 300 тыс. руб. </w:t>
            </w:r>
            <w:r>
              <w:rPr>
                <w:rFonts w:ascii="Times New Roman" w:hAnsi="Times New Roman"/>
                <w:sz w:val="20"/>
                <w:u w:val="single"/>
              </w:rPr>
              <w:t>(1 %)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18210214010060005160</w:t>
            </w:r>
          </w:p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>
        <w:trPr>
          <w:trHeight w:val="914"/>
        </w:trPr>
        <w:tc>
          <w:tcPr>
            <w:tcW w:w="478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Страховые взносы на обязательное медицинское страхование работающего населения за расчетные периоды, истекшие до 1 января 2023 года (страховые взносы на обязательное медицинское страхование работающего населения в фиксированном размере)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18210214030080002160</w:t>
            </w:r>
          </w:p>
          <w:p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Реквизиты для оплаты: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Платежное поручение (Распоряжение) на конкретный КБК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Статус 02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Получатель: ИНН 7727406020/КПП 770801001 УФК по Тульской области (Межрегиональная инспекция Федеральной налоговой службы по управлению долгом)</w:t>
      </w:r>
      <w:r>
        <w:rPr>
          <w:rFonts w:ascii="Times New Roman" w:hAnsi="Times New Roman"/>
          <w:sz w:val="24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 получателя: ОТДЕЛЕНИЕ ТУЛА БАНКА РОССИИ//УФК по Тульской области, г Тула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БИК 017003983 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Кор.счет</w:t>
      </w:r>
      <w:proofErr w:type="spellEnd"/>
      <w:r>
        <w:rPr>
          <w:rFonts w:ascii="Times New Roman" w:hAnsi="Times New Roman"/>
          <w:sz w:val="24"/>
        </w:rPr>
        <w:t xml:space="preserve"> 40102810445370000059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Р/С 03100643000000018500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КБК 18210ХХХХХХХХХХХХХХХ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 ОКТМО ХХХХХХХХ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Налоговый период (107)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Уплата на ЕНП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Статус 01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Получатель: ИНН 7727406020/КПП 770801001 УФК по Тульской области (Межрегиональная инспекция Федеральной налоговой службы по управлению долгом)</w:t>
      </w:r>
      <w:r>
        <w:rPr>
          <w:rFonts w:ascii="Times New Roman" w:hAnsi="Times New Roman"/>
          <w:sz w:val="24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 получателя: ОТДЕЛЕНИЕ ТУЛА БАНКА РОССИИ//УФК по Тульской области, г Тула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БИК 017003983 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Кор.счет</w:t>
      </w:r>
      <w:proofErr w:type="spellEnd"/>
      <w:r>
        <w:rPr>
          <w:rFonts w:ascii="Times New Roman" w:hAnsi="Times New Roman"/>
          <w:sz w:val="24"/>
        </w:rPr>
        <w:t xml:space="preserve"> 40102810445370000059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Р/С 03100643000000018500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КБК 18201061201010000510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 ОКТМО 0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>
      <w:pgSz w:w="11906" w:h="16838"/>
      <w:pgMar w:top="567" w:right="850" w:bottom="28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114A"/>
    <w:multiLevelType w:val="multilevel"/>
    <w:tmpl w:val="0EECF2E6"/>
    <w:lvl w:ilvl="0">
      <w:start w:val="1"/>
      <w:numFmt w:val="bullet"/>
      <w:lvlText w:val=""/>
      <w:lvlJc w:val="left"/>
      <w:pPr>
        <w:ind w:left="135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/>
      </w:rPr>
    </w:lvl>
  </w:abstractNum>
  <w:abstractNum w:abstractNumId="1">
    <w:nsid w:val="793C3F3A"/>
    <w:multiLevelType w:val="hybridMultilevel"/>
    <w:tmpl w:val="A5260F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F4A0C38"/>
    <w:multiLevelType w:val="hybridMultilevel"/>
    <w:tmpl w:val="DA2C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Гипертекстовая ссылка"/>
    <w:basedOn w:val="12"/>
    <w:link w:val="a6"/>
    <w:rPr>
      <w:color w:val="106BBE"/>
    </w:rPr>
  </w:style>
  <w:style w:type="character" w:customStyle="1" w:styleId="a6">
    <w:name w:val="Гипертекстовая ссылка"/>
    <w:basedOn w:val="a0"/>
    <w:link w:val="a5"/>
    <w:rPr>
      <w:color w:val="106BBE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">
    <w:name w:val="Основной шрифт абзаца1"/>
    <w:link w:val="ae"/>
  </w:style>
  <w:style w:type="table" w:styleId="ae">
    <w:name w:val="Table Grid"/>
    <w:basedOn w:val="a1"/>
    <w:link w:val="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5">
    <w:name w:val="Гипертекстовая ссылка"/>
    <w:basedOn w:val="12"/>
    <w:link w:val="a6"/>
    <w:rPr>
      <w:color w:val="106BBE"/>
    </w:rPr>
  </w:style>
  <w:style w:type="character" w:customStyle="1" w:styleId="a6">
    <w:name w:val="Гипертекстовая ссылка"/>
    <w:basedOn w:val="a0"/>
    <w:link w:val="a5"/>
    <w:rPr>
      <w:color w:val="106BBE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">
    <w:name w:val="Основной шрифт абзаца1"/>
    <w:link w:val="ae"/>
  </w:style>
  <w:style w:type="table" w:styleId="ae">
    <w:name w:val="Table Grid"/>
    <w:basedOn w:val="a1"/>
    <w:link w:val="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471BA69F0457B51E6D0131E20E2DCF6520D642A2297AAC8BE36E451E0C5F2A296FECE68CF10DF11FE30B6BC9B1A41CC5F6756A9EFDAA2CwE5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Полыгалова Юлия Николаевна</dc:creator>
  <cp:lastModifiedBy>Dohod3</cp:lastModifiedBy>
  <cp:revision>2</cp:revision>
  <cp:lastPrinted>2023-01-13T08:35:00Z</cp:lastPrinted>
  <dcterms:created xsi:type="dcterms:W3CDTF">2023-03-23T11:50:00Z</dcterms:created>
  <dcterms:modified xsi:type="dcterms:W3CDTF">2023-03-23T11:50:00Z</dcterms:modified>
</cp:coreProperties>
</file>